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C" w:rsidRPr="00D2182C" w:rsidRDefault="00D2182C" w:rsidP="00D2182C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</w:rPr>
      </w:pPr>
      <w:r w:rsidRPr="00D2182C">
        <w:rPr>
          <w:rFonts w:ascii="Arial" w:eastAsia="Times New Roman" w:hAnsi="Arial" w:cs="Arial"/>
          <w:b/>
          <w:bCs/>
          <w:color w:val="000000"/>
          <w:kern w:val="36"/>
        </w:rPr>
        <w:t>Письмо Департамента налоговой и таможенной политики Минфина России от 23 июля 2018 г. N 03-03-06/1/51357</w:t>
      </w:r>
      <w:proofErr w:type="gramStart"/>
      <w:r w:rsidRPr="00D2182C">
        <w:rPr>
          <w:rFonts w:ascii="Arial" w:eastAsia="Times New Roman" w:hAnsi="Arial" w:cs="Arial"/>
          <w:b/>
          <w:bCs/>
          <w:color w:val="000000"/>
          <w:kern w:val="36"/>
        </w:rPr>
        <w:t xml:space="preserve"> О</w:t>
      </w:r>
      <w:proofErr w:type="gramEnd"/>
      <w:r w:rsidRPr="00D2182C">
        <w:rPr>
          <w:rFonts w:ascii="Arial" w:eastAsia="Times New Roman" w:hAnsi="Arial" w:cs="Arial"/>
          <w:b/>
          <w:bCs/>
          <w:color w:val="000000"/>
          <w:kern w:val="36"/>
        </w:rPr>
        <w:t>б особенностях определения налоговой базы по налогу на прибыль организаций</w:t>
      </w:r>
    </w:p>
    <w:p w:rsidR="00D2182C" w:rsidRPr="00D2182C" w:rsidRDefault="00D2182C" w:rsidP="00D2182C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bookmarkStart w:id="0" w:name="text"/>
      <w:bookmarkEnd w:id="0"/>
      <w:r w:rsidRPr="00D2182C">
        <w:rPr>
          <w:rFonts w:ascii="Arial" w:eastAsia="Times New Roman" w:hAnsi="Arial" w:cs="Arial"/>
          <w:bCs/>
          <w:color w:val="000000"/>
        </w:rPr>
        <w:t>Письмо Департамента налоговой и таможенной политики Минфина России от 23 июля 2018 г. N 03-03-06/1/51357</w:t>
      </w:r>
    </w:p>
    <w:p w:rsidR="00D2182C" w:rsidRPr="00D2182C" w:rsidRDefault="00D2182C" w:rsidP="00D2182C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D2182C">
        <w:rPr>
          <w:rFonts w:ascii="Arial" w:eastAsia="Times New Roman" w:hAnsi="Arial" w:cs="Arial"/>
          <w:bCs/>
          <w:color w:val="000000"/>
        </w:rPr>
        <w:t> </w:t>
      </w:r>
    </w:p>
    <w:p w:rsidR="00D2182C" w:rsidRPr="00D2182C" w:rsidRDefault="00D2182C" w:rsidP="00D2182C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D2182C">
        <w:rPr>
          <w:rFonts w:ascii="Arial" w:eastAsia="Times New Roman" w:hAnsi="Arial" w:cs="Arial"/>
          <w:bCs/>
          <w:color w:val="000000"/>
        </w:rPr>
        <w:t xml:space="preserve">Департамент налоговой и таможенной политики </w:t>
      </w:r>
      <w:proofErr w:type="gramStart"/>
      <w:r w:rsidRPr="00D2182C">
        <w:rPr>
          <w:rFonts w:ascii="Arial" w:eastAsia="Times New Roman" w:hAnsi="Arial" w:cs="Arial"/>
          <w:bCs/>
          <w:color w:val="000000"/>
        </w:rPr>
        <w:t>рассмотрел письмо и сообщает</w:t>
      </w:r>
      <w:proofErr w:type="gramEnd"/>
      <w:r w:rsidRPr="00D2182C">
        <w:rPr>
          <w:rFonts w:ascii="Arial" w:eastAsia="Times New Roman" w:hAnsi="Arial" w:cs="Arial"/>
          <w:bCs/>
          <w:color w:val="000000"/>
        </w:rPr>
        <w:t xml:space="preserve"> следующее.</w:t>
      </w:r>
    </w:p>
    <w:p w:rsidR="00D2182C" w:rsidRPr="00D2182C" w:rsidRDefault="00D2182C" w:rsidP="00D2182C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D2182C">
        <w:rPr>
          <w:rFonts w:ascii="Arial" w:eastAsia="Times New Roman" w:hAnsi="Arial" w:cs="Arial"/>
          <w:bCs/>
          <w:color w:val="000000"/>
        </w:rPr>
        <w:t>На основании </w:t>
      </w:r>
      <w:hyperlink r:id="rId4" w:anchor="block_2521" w:history="1">
        <w:r w:rsidRPr="00D2182C">
          <w:rPr>
            <w:rFonts w:ascii="Arial" w:eastAsia="Times New Roman" w:hAnsi="Arial" w:cs="Arial"/>
            <w:bCs/>
            <w:color w:val="3272C0"/>
          </w:rPr>
          <w:t>пункта 1 статьи 252</w:t>
        </w:r>
      </w:hyperlink>
      <w:r w:rsidRPr="00D2182C">
        <w:rPr>
          <w:rFonts w:ascii="Arial" w:eastAsia="Times New Roman" w:hAnsi="Arial" w:cs="Arial"/>
          <w:bCs/>
          <w:color w:val="000000"/>
        </w:rPr>
        <w:t> Налогового кодекса Российской Федерации (далее - НК РФ) в целях налогообложения прибыли организаций расходами признаются экономически оправданные и документально подтвержденные затраты, произведенные для осуществления деятельности, направленной на получение дохода. Расходы, не соответствующие указанным требованиям, согласно </w:t>
      </w:r>
      <w:hyperlink r:id="rId5" w:anchor="block_27049" w:history="1">
        <w:r w:rsidRPr="00D2182C">
          <w:rPr>
            <w:rFonts w:ascii="Arial" w:eastAsia="Times New Roman" w:hAnsi="Arial" w:cs="Arial"/>
            <w:bCs/>
            <w:color w:val="3272C0"/>
          </w:rPr>
          <w:t>пункту 49 статьи 270</w:t>
        </w:r>
      </w:hyperlink>
      <w:r w:rsidRPr="00D2182C">
        <w:rPr>
          <w:rFonts w:ascii="Arial" w:eastAsia="Times New Roman" w:hAnsi="Arial" w:cs="Arial"/>
          <w:bCs/>
          <w:color w:val="000000"/>
        </w:rPr>
        <w:t> НК РФ, в целях налогообложения прибыли организаций не учитываются.</w:t>
      </w:r>
    </w:p>
    <w:p w:rsidR="00D2182C" w:rsidRPr="00D2182C" w:rsidRDefault="00D2182C" w:rsidP="00D2182C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proofErr w:type="gramStart"/>
      <w:r w:rsidRPr="00D2182C">
        <w:rPr>
          <w:rFonts w:ascii="Arial" w:eastAsia="Times New Roman" w:hAnsi="Arial" w:cs="Arial"/>
          <w:bCs/>
          <w:color w:val="000000"/>
        </w:rPr>
        <w:t>В соответствии с </w:t>
      </w:r>
      <w:hyperlink r:id="rId6" w:anchor="block_27042" w:history="1">
        <w:r w:rsidRPr="00D2182C">
          <w:rPr>
            <w:rFonts w:ascii="Arial" w:eastAsia="Times New Roman" w:hAnsi="Arial" w:cs="Arial"/>
            <w:bCs/>
            <w:color w:val="3272C0"/>
          </w:rPr>
          <w:t>пунктом 40 статьи 270</w:t>
        </w:r>
      </w:hyperlink>
      <w:r w:rsidRPr="00D2182C">
        <w:rPr>
          <w:rFonts w:ascii="Arial" w:eastAsia="Times New Roman" w:hAnsi="Arial" w:cs="Arial"/>
          <w:bCs/>
          <w:color w:val="000000"/>
        </w:rPr>
        <w:t> НК РФ при определении налоговой базы по налогу на прибыль организаций не учитываются расходы в виде взносов, вкладов и иных обязательных платежей, уплачиваемых некоммерческим организациям и международным организациям, кроме указанных в </w:t>
      </w:r>
      <w:hyperlink r:id="rId7" w:anchor="block_264129" w:history="1">
        <w:r w:rsidRPr="00D2182C">
          <w:rPr>
            <w:rFonts w:ascii="Arial" w:eastAsia="Times New Roman" w:hAnsi="Arial" w:cs="Arial"/>
            <w:bCs/>
            <w:color w:val="3272C0"/>
          </w:rPr>
          <w:t>подпунктах 29</w:t>
        </w:r>
      </w:hyperlink>
      <w:r w:rsidRPr="00D2182C">
        <w:rPr>
          <w:rFonts w:ascii="Arial" w:eastAsia="Times New Roman" w:hAnsi="Arial" w:cs="Arial"/>
          <w:bCs/>
          <w:color w:val="000000"/>
        </w:rPr>
        <w:t> и </w:t>
      </w:r>
      <w:hyperlink r:id="rId8" w:anchor="block_264130" w:history="1">
        <w:r w:rsidRPr="00D2182C">
          <w:rPr>
            <w:rFonts w:ascii="Arial" w:eastAsia="Times New Roman" w:hAnsi="Arial" w:cs="Arial"/>
            <w:bCs/>
            <w:color w:val="3272C0"/>
          </w:rPr>
          <w:t>30 пункта 1 статьи 264</w:t>
        </w:r>
      </w:hyperlink>
      <w:r w:rsidRPr="00D2182C">
        <w:rPr>
          <w:rFonts w:ascii="Arial" w:eastAsia="Times New Roman" w:hAnsi="Arial" w:cs="Arial"/>
          <w:bCs/>
          <w:color w:val="000000"/>
        </w:rPr>
        <w:t> НК РФ.</w:t>
      </w:r>
      <w:proofErr w:type="gramEnd"/>
    </w:p>
    <w:p w:rsidR="00D2182C" w:rsidRPr="00D2182C" w:rsidRDefault="00D2182C" w:rsidP="00D2182C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proofErr w:type="gramStart"/>
      <w:r w:rsidRPr="00D2182C">
        <w:rPr>
          <w:rFonts w:ascii="Arial" w:eastAsia="Times New Roman" w:hAnsi="Arial" w:cs="Arial"/>
          <w:bCs/>
          <w:color w:val="000000"/>
        </w:rPr>
        <w:t>Согласно </w:t>
      </w:r>
      <w:hyperlink r:id="rId9" w:anchor="block_264129" w:history="1">
        <w:r w:rsidRPr="00D2182C">
          <w:rPr>
            <w:rFonts w:ascii="Arial" w:eastAsia="Times New Roman" w:hAnsi="Arial" w:cs="Arial"/>
            <w:bCs/>
            <w:color w:val="3272C0"/>
          </w:rPr>
          <w:t>подпункту 29 пункта 1 статьи 264</w:t>
        </w:r>
      </w:hyperlink>
      <w:r w:rsidRPr="00D2182C">
        <w:rPr>
          <w:rFonts w:ascii="Arial" w:eastAsia="Times New Roman" w:hAnsi="Arial" w:cs="Arial"/>
          <w:bCs/>
          <w:color w:val="000000"/>
        </w:rPr>
        <w:t> НК РФ для целей налогообложения прибыли организаций в составе прочих расходов, связанных с производством и реализацией, учитываются взносы, вклады и иные обязательные платежи, уплачиваемые некоммерческим организациям, если уплата таких взносов, вкладов и иных обязательных платежей является условием для осуществления деятельности налогоплательщиками - плательщиками таких взносов, вкладов или иных обязательных платежей.</w:t>
      </w:r>
      <w:proofErr w:type="gramEnd"/>
    </w:p>
    <w:p w:rsidR="00D2182C" w:rsidRPr="00D2182C" w:rsidRDefault="00D2182C" w:rsidP="00D2182C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D2182C">
        <w:rPr>
          <w:rFonts w:ascii="Arial" w:eastAsia="Times New Roman" w:hAnsi="Arial" w:cs="Arial"/>
          <w:bCs/>
          <w:color w:val="000000"/>
        </w:rPr>
        <w:t>По мнению Департамента, положения </w:t>
      </w:r>
      <w:hyperlink r:id="rId10" w:anchor="block_264129" w:history="1">
        <w:r w:rsidRPr="00D2182C">
          <w:rPr>
            <w:rFonts w:ascii="Arial" w:eastAsia="Times New Roman" w:hAnsi="Arial" w:cs="Arial"/>
            <w:bCs/>
            <w:color w:val="3272C0"/>
          </w:rPr>
          <w:t>подпункта 29 пункта 1 статьи 264</w:t>
        </w:r>
      </w:hyperlink>
      <w:r w:rsidRPr="00D2182C">
        <w:rPr>
          <w:rFonts w:ascii="Arial" w:eastAsia="Times New Roman" w:hAnsi="Arial" w:cs="Arial"/>
          <w:bCs/>
          <w:color w:val="000000"/>
        </w:rPr>
        <w:t xml:space="preserve"> НК РФ применимы в случае, когда уплата взносов, вкладов и иных обязательных платежей некоммерческим организациям является условием для осуществления деятельности налогоплательщика в силу норм законодательства Российской Федерации. В иных случаях, в том </w:t>
      </w:r>
      <w:proofErr w:type="gramStart"/>
      <w:r w:rsidRPr="00D2182C">
        <w:rPr>
          <w:rFonts w:ascii="Arial" w:eastAsia="Times New Roman" w:hAnsi="Arial" w:cs="Arial"/>
          <w:bCs/>
          <w:color w:val="000000"/>
        </w:rPr>
        <w:t>числе</w:t>
      </w:r>
      <w:proofErr w:type="gramEnd"/>
      <w:r w:rsidRPr="00D2182C">
        <w:rPr>
          <w:rFonts w:ascii="Arial" w:eastAsia="Times New Roman" w:hAnsi="Arial" w:cs="Arial"/>
          <w:bCs/>
          <w:color w:val="000000"/>
        </w:rPr>
        <w:t xml:space="preserve"> когда обязательность уплаты платежей некоммерческой организации обусловлена соглашением с такой некоммерческой организацией, указанная норма не применяется.</w:t>
      </w:r>
    </w:p>
    <w:p w:rsidR="00D2182C" w:rsidRPr="00D2182C" w:rsidRDefault="00D2182C" w:rsidP="00D2182C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D2182C">
        <w:rPr>
          <w:rFonts w:ascii="Arial" w:eastAsia="Times New Roman" w:hAnsi="Arial" w:cs="Arial"/>
          <w:bCs/>
          <w:color w:val="000000"/>
        </w:rPr>
        <w:t xml:space="preserve">Настоящее письмо не содержит правовых норм, не </w:t>
      </w:r>
      <w:proofErr w:type="gramStart"/>
      <w:r w:rsidRPr="00D2182C">
        <w:rPr>
          <w:rFonts w:ascii="Arial" w:eastAsia="Times New Roman" w:hAnsi="Arial" w:cs="Arial"/>
          <w:bCs/>
          <w:color w:val="000000"/>
        </w:rPr>
        <w:t>конкретизирует нормативные предписания и не является</w:t>
      </w:r>
      <w:proofErr w:type="gramEnd"/>
      <w:r w:rsidRPr="00D2182C">
        <w:rPr>
          <w:rFonts w:ascii="Arial" w:eastAsia="Times New Roman" w:hAnsi="Arial" w:cs="Arial"/>
          <w:bCs/>
          <w:color w:val="000000"/>
        </w:rPr>
        <w:t xml:space="preserve"> нормативным правовым актом. Письменные разъяснения Минфина России по вопросам применения законодательства Российской Федерации о налогах и сборах </w:t>
      </w:r>
      <w:proofErr w:type="gramStart"/>
      <w:r w:rsidRPr="00D2182C">
        <w:rPr>
          <w:rFonts w:ascii="Arial" w:eastAsia="Times New Roman" w:hAnsi="Arial" w:cs="Arial"/>
          <w:bCs/>
          <w:color w:val="000000"/>
        </w:rPr>
        <w:t>имеют информационно-разъяснительный характер и не препятствуют</w:t>
      </w:r>
      <w:proofErr w:type="gramEnd"/>
      <w:r w:rsidRPr="00D2182C">
        <w:rPr>
          <w:rFonts w:ascii="Arial" w:eastAsia="Times New Roman" w:hAnsi="Arial" w:cs="Arial"/>
          <w:bCs/>
          <w:color w:val="000000"/>
        </w:rPr>
        <w:t xml:space="preserve"> налогоплательщикам руководствоваться нормами законодательства Российской Федерации о налогах и сборах в понимании, отличающемся от трактовки, изложенной в настоящем письме.</w:t>
      </w:r>
    </w:p>
    <w:p w:rsidR="00D2182C" w:rsidRPr="00D2182C" w:rsidRDefault="00D2182C" w:rsidP="00D2182C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D2182C">
        <w:rPr>
          <w:rFonts w:ascii="Arial" w:eastAsia="Times New Roman" w:hAnsi="Arial" w:cs="Arial"/>
          <w:bCs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D2182C" w:rsidRPr="00D2182C" w:rsidTr="00D2182C">
        <w:tc>
          <w:tcPr>
            <w:tcW w:w="3300" w:type="pct"/>
            <w:vAlign w:val="bottom"/>
            <w:hideMark/>
          </w:tcPr>
          <w:p w:rsidR="00D2182C" w:rsidRPr="00D2182C" w:rsidRDefault="00D2182C" w:rsidP="00D2182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182C">
              <w:rPr>
                <w:rFonts w:ascii="Arial" w:eastAsia="Times New Roman" w:hAnsi="Arial" w:cs="Arial"/>
              </w:rPr>
              <w:t>Заместитель директора Департамента</w:t>
            </w:r>
          </w:p>
        </w:tc>
        <w:tc>
          <w:tcPr>
            <w:tcW w:w="1650" w:type="pct"/>
            <w:vAlign w:val="bottom"/>
            <w:hideMark/>
          </w:tcPr>
          <w:p w:rsidR="00D2182C" w:rsidRPr="00D2182C" w:rsidRDefault="00D2182C" w:rsidP="00D2182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D2182C">
              <w:rPr>
                <w:rFonts w:ascii="Arial" w:eastAsia="Times New Roman" w:hAnsi="Arial" w:cs="Arial"/>
              </w:rPr>
              <w:t>А.А. Смирнов</w:t>
            </w:r>
          </w:p>
        </w:tc>
      </w:tr>
    </w:tbl>
    <w:p w:rsidR="00AE4585" w:rsidRDefault="00D2182C">
      <w:r w:rsidRPr="00D2182C">
        <w:rPr>
          <w:rFonts w:ascii="Arial" w:eastAsia="Times New Roman" w:hAnsi="Arial" w:cs="Arial"/>
          <w:b/>
          <w:bCs/>
          <w:color w:val="000000"/>
          <w:sz w:val="14"/>
          <w:szCs w:val="14"/>
        </w:rPr>
        <w:br/>
      </w:r>
      <w:r w:rsidRPr="00D2182C">
        <w:rPr>
          <w:rFonts w:ascii="Arial" w:eastAsia="Times New Roman" w:hAnsi="Arial" w:cs="Arial"/>
          <w:b/>
          <w:bCs/>
          <w:color w:val="000000"/>
          <w:sz w:val="14"/>
          <w:szCs w:val="14"/>
        </w:rPr>
        <w:br/>
        <w:t>Система ГАРАНТ: </w:t>
      </w:r>
      <w:hyperlink r:id="rId11" w:anchor="ixzz5NYZC7QJM" w:history="1">
        <w:r w:rsidRPr="00D2182C">
          <w:rPr>
            <w:rFonts w:ascii="Arial" w:eastAsia="Times New Roman" w:hAnsi="Arial" w:cs="Arial"/>
            <w:b/>
            <w:bCs/>
            <w:color w:val="003399"/>
            <w:sz w:val="14"/>
          </w:rPr>
          <w:t>http://base.garant.ru/72000326/#ixzz5NYZC7QJM</w:t>
        </w:r>
      </w:hyperlink>
    </w:p>
    <w:sectPr w:rsidR="00AE4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182C"/>
    <w:rsid w:val="00AE4585"/>
    <w:rsid w:val="00D21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1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8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1">
    <w:name w:val="s_1"/>
    <w:basedOn w:val="a"/>
    <w:rsid w:val="00D2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D2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2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182C"/>
    <w:rPr>
      <w:color w:val="0000FF"/>
      <w:u w:val="single"/>
    </w:rPr>
  </w:style>
  <w:style w:type="paragraph" w:customStyle="1" w:styleId="s16">
    <w:name w:val="s_16"/>
    <w:basedOn w:val="a"/>
    <w:rsid w:val="00D2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900200/90c95d4f52c744c440b1bdf8962e84b7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900200/90c95d4f52c744c440b1bdf8962e84b7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900200/d2f1f898369ceb0abec8ebae33dc4e35/" TargetMode="External"/><Relationship Id="rId11" Type="http://schemas.openxmlformats.org/officeDocument/2006/relationships/hyperlink" Target="http://base.garant.ru/72000326/" TargetMode="External"/><Relationship Id="rId5" Type="http://schemas.openxmlformats.org/officeDocument/2006/relationships/hyperlink" Target="http://base.garant.ru/10900200/d2f1f898369ceb0abec8ebae33dc4e35/" TargetMode="External"/><Relationship Id="rId10" Type="http://schemas.openxmlformats.org/officeDocument/2006/relationships/hyperlink" Target="http://base.garant.ru/10900200/90c95d4f52c744c440b1bdf8962e84b7/" TargetMode="External"/><Relationship Id="rId4" Type="http://schemas.openxmlformats.org/officeDocument/2006/relationships/hyperlink" Target="http://base.garant.ru/10900200/7f0762447f5457e0ca3b7fc5dfe1175f/" TargetMode="External"/><Relationship Id="rId9" Type="http://schemas.openxmlformats.org/officeDocument/2006/relationships/hyperlink" Target="http://base.garant.ru/10900200/90c95d4f52c744c440b1bdf8962e84b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2927</Characters>
  <Application>Microsoft Office Word</Application>
  <DocSecurity>0</DocSecurity>
  <Lines>24</Lines>
  <Paragraphs>6</Paragraphs>
  <ScaleCrop>false</ScaleCrop>
  <Company>НП Стройгарант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</dc:creator>
  <cp:keywords/>
  <dc:description/>
  <cp:lastModifiedBy>Воронцова</cp:lastModifiedBy>
  <cp:revision>2</cp:revision>
  <dcterms:created xsi:type="dcterms:W3CDTF">2018-08-08T04:10:00Z</dcterms:created>
  <dcterms:modified xsi:type="dcterms:W3CDTF">2018-08-08T04:11:00Z</dcterms:modified>
</cp:coreProperties>
</file>